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ind w:left="0" w:right="0" w:firstLine="709"/>
        <w:jc w:val="righ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Приложение № 3</w: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833"/>
        <w:ind w:left="0" w:right="0" w:firstLine="0"/>
        <w:jc w:val="right"/>
        <w:spacing w:before="0" w:after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 xml:space="preserve">к Договору возмездного оказания услуг</w:t>
      </w: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833"/>
        <w:ind w:left="0" w:right="0" w:firstLine="0"/>
        <w:jc w:val="righ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 xml:space="preserve">от «____» ________ 2026г. №______</w: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833"/>
        <w:ind w:left="0" w:right="0" w:firstLine="0"/>
        <w:jc w:val="righ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 </w: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833"/>
        <w:ind w:left="0" w:right="0" w:firstLine="0"/>
        <w:jc w:val="righ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 </w: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833"/>
        <w:ind w:left="0" w:right="0" w:firstLine="0"/>
        <w:jc w:val="center"/>
        <w:spacing w:before="0" w:after="0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Расчет стоимости услуг</w:t>
      </w:r>
      <w:r>
        <w:rPr>
          <w:rFonts w:ascii="Times New Roman" w:hAnsi="Times New Roman"/>
          <w:b/>
          <w:color w:val="000000"/>
          <w:sz w:val="22"/>
          <w:szCs w:val="22"/>
        </w:rPr>
      </w:r>
      <w:r>
        <w:rPr>
          <w:rFonts w:ascii="Times New Roman" w:hAnsi="Times New Roman"/>
          <w:b/>
          <w:color w:val="000000"/>
          <w:sz w:val="22"/>
          <w:szCs w:val="22"/>
        </w:rPr>
      </w:r>
    </w:p>
    <w:p>
      <w:pPr>
        <w:pStyle w:val="833"/>
        <w:ind w:left="0" w:right="0" w:firstLine="0"/>
        <w:jc w:val="center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 </w: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tbl>
      <w:tblPr>
        <w:tblW w:w="9926" w:type="dxa"/>
        <w:tblInd w:w="-5" w:type="dxa"/>
        <w:tblLayout w:type="fixed"/>
        <w:tblCellMar>
          <w:left w:w="108" w:type="dxa"/>
          <w:top w:w="28" w:type="dxa"/>
          <w:right w:w="108" w:type="dxa"/>
          <w:bottom w:w="28" w:type="dxa"/>
        </w:tblCellMar>
        <w:tblLook w:val="04A0" w:firstRow="1" w:lastRow="0" w:firstColumn="1" w:lastColumn="0" w:noHBand="0" w:noVBand="1"/>
      </w:tblPr>
      <w:tblGrid>
        <w:gridCol w:w="880"/>
        <w:gridCol w:w="4086"/>
        <w:gridCol w:w="992"/>
        <w:gridCol w:w="1276"/>
        <w:gridCol w:w="850"/>
        <w:gridCol w:w="184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п/п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Наименование услуги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Ед. измерения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Цена ед., руб.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Кол-во ед.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Стоимость, руб. без НДС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64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top"/>
            <w:textDirection w:val="lrTb"/>
            <w:noWrap w:val="false"/>
          </w:tcPr>
          <w:p>
            <w:pPr>
              <w:pStyle w:val="833"/>
              <w:ind w:left="0" w:right="0" w:firstLine="0"/>
              <w:jc w:val="both"/>
              <w:spacing w:before="0" w:after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</w:rPr>
              <w:t xml:space="preserve">Измерение сопротивления изоляции обмотки статора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left"/>
              <w:spacing w:before="0" w:after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Измерение сопротивления изоляции обмотки ротора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ind w:left="35"/>
              <w:tabs>
                <w:tab w:val="left" w:pos="318" w:leader="none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Проверка обмоток ротора на отсутствие межвитковых замыканий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ind w:left="35"/>
              <w:tabs>
                <w:tab w:val="left" w:pos="318" w:leader="none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Измерение полного сопротивления обмотки ротора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ind w:left="35"/>
              <w:tabs>
                <w:tab w:val="left" w:pos="318" w:leader="none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highlight w:val="none"/>
              </w:rPr>
              <w:t xml:space="preserve">Замер омических сопротивлений обмотки ротора постоянному току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ind w:left="35"/>
              <w:tabs>
                <w:tab w:val="left" w:pos="318" w:leader="none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1"/>
                <w:szCs w:val="21"/>
                <w:highlight w:val="white"/>
              </w:rPr>
              <w:t xml:space="preserve">Снятие вольт-амперной характеристики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1"/>
                <w:szCs w:val="21"/>
                <w:highlight w:val="white"/>
              </w:rPr>
              <w:t xml:space="preserve"> при изменение частоты вращения ротора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Испытание изоляции обмотки статора повышенным напряжением частоты 50 Гц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vMerge w:val="restart"/>
            <w:textDirection w:val="lrTb"/>
            <w:noWrap w:val="false"/>
          </w:tcPr>
          <w:p>
            <w:pPr>
              <w:pStyle w:val="673"/>
              <w:spacing w:line="240" w:lineRule="auto"/>
              <w:rPr>
                <w:rFonts w:ascii="Times New Roman CYR" w:hAnsi="Times New Roman CYR"/>
                <w:color w:val="000000"/>
                <w:sz w:val="21"/>
                <w:szCs w:val="21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1"/>
                <w:szCs w:val="21"/>
                <w:highlight w:val="white"/>
              </w:rPr>
              <w:t xml:space="preserve">Испытание изоляции обмотки статора повышенным </w:t>
            </w:r>
            <w:r>
              <w:rPr>
                <w:rFonts w:ascii="Times New Roman CYR" w:hAnsi="Times New Roman CYR"/>
                <w:color w:val="000000"/>
                <w:sz w:val="21"/>
                <w:szCs w:val="21"/>
                <w:highlight w:val="white"/>
              </w:rPr>
              <w:t xml:space="preserve">выпрямленным  напряжением с измерением тока утечки</w:t>
            </w:r>
            <w:r>
              <w:rPr>
                <w:rFonts w:ascii="Times New Roman CYR" w:hAnsi="Times New Roman CYR"/>
                <w:color w:val="000000"/>
                <w:sz w:val="21"/>
                <w:szCs w:val="21"/>
                <w:highlight w:val="white"/>
              </w:rPr>
            </w:r>
            <w:r>
              <w:rPr>
                <w:rFonts w:ascii="Times New Roman CYR" w:hAnsi="Times New Roman CYR"/>
                <w:color w:val="000000"/>
                <w:sz w:val="21"/>
                <w:szCs w:val="21"/>
                <w:highlight w:val="whit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left"/>
              <w:spacing w:before="0" w:after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Измерение сопротивления обмоток статора постоянному току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3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Измерение сопротивления изоляции подшипников генератора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1"/>
                <w:szCs w:val="21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1"/>
                <w:szCs w:val="21"/>
                <w:highlight w:val="white"/>
              </w:rPr>
              <w:t xml:space="preserve">змерение сопротивления изоляции корпусов подшипников, масляной пленки и маслопроводов турбогенератора в соответствии с циркуляром Ц-05-88(Э)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left"/>
              <w:spacing w:before="0" w:after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Снятие характеристики трехфазного короткого замыкания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13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Снятие характеристик холостого хода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highlight w:val="none"/>
              </w:rPr>
              <w:t xml:space="preserve">(включая испытание межвитковой изоляции)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left"/>
              <w:spacing w:before="0" w:after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highlight w:val="white"/>
              </w:rPr>
              <w:t xml:space="preserve">Контроль вибрационного состояния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1"/>
                <w:szCs w:val="21"/>
                <w:highlight w:val="white"/>
              </w:rPr>
              <w:t xml:space="preserve">Испытание стали статора (п.3.12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1"/>
                <w:szCs w:val="21"/>
                <w:highlight w:val="white"/>
              </w:rPr>
              <w:t xml:space="preserve">РД 34.45-51.300-97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1"/>
                <w:szCs w:val="21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Оценка плотности прессовки активной стали и выявление ослабленных зубцов крайних пакетов ультразвуковым методом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17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Выявление местных замыканий листов активной стали сердечника статора электромагнитным методом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left"/>
              <w:spacing w:before="0" w:after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Эндоскопическое  обследование активной  стали и вентиляционных каналов сердечника статора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left"/>
              <w:spacing w:before="0" w:after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Оценка  технического состояния  изоляции обмотки статора, системы крепления ее пазовых и лобовых частей осмотра с использованием технического эндоскопа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20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Оценка технического состояния кольцевых соединительных шин, определение собственных частот колебаний кольцевых соединительных шин и элементов лобовых частей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Оценка  технического состояния ротора на основании осмотра  кольцевых канавок галтелей и вентиляционных зубцов с использованием эндоскопа и лупы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left"/>
              <w:spacing w:before="0" w:after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Оценка технического состояния системы подвески сердечника виброакустическим методом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23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Контроль  состояния турбогенератора по уровню частичных разрядов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highlight w:val="white"/>
              </w:rPr>
              <w:t xml:space="preserve">Разработка рекомендаций  по ремонту активной стали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highlight w:val="white"/>
              </w:rPr>
              <w:t xml:space="preserve">Контроль качества  ремонта зубцов активной стали в процессе проведения работ    по уплотнению зубцов и восстановлению изоляции листов активной стали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Обработка полученных данных, анализ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результатов испытаний и измерений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7"/>
              <w:ind w:left="0" w:right="0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</w:tbl>
    <w:p>
      <w:pPr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831"/>
        <w:jc w:val="left"/>
        <w:rPr>
          <w:rFonts w:ascii="Times New Roman" w:hAnsi="Times New Roman"/>
          <w:b/>
          <w:bCs/>
          <w:sz w:val="22"/>
          <w:szCs w:val="22"/>
          <w:highlight w:val="none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ВСЕГО в базовых ценах 1992г.:</w:t>
      </w:r>
      <w:r>
        <w:rPr>
          <w:rFonts w:ascii="Times New Roman" w:hAnsi="Times New Roman"/>
          <w:b/>
          <w:bCs/>
          <w:sz w:val="22"/>
          <w:szCs w:val="22"/>
          <w:highlight w:val="none"/>
        </w:rPr>
      </w:r>
      <w:r>
        <w:rPr>
          <w:rFonts w:ascii="Times New Roman" w:hAnsi="Times New Roman"/>
          <w:b/>
          <w:bCs/>
          <w:sz w:val="22"/>
          <w:szCs w:val="22"/>
          <w:highlight w:val="none"/>
        </w:rPr>
      </w:r>
    </w:p>
    <w:p>
      <w:pPr>
        <w:jc w:val="left"/>
        <w:rPr>
          <w:rFonts w:ascii="Times New Roman" w:hAnsi="Times New Roman"/>
          <w:b/>
          <w:bCs/>
          <w:sz w:val="22"/>
          <w:szCs w:val="22"/>
          <w:highlight w:val="none"/>
        </w:rPr>
      </w:pPr>
      <w:r>
        <w:rPr>
          <w:rFonts w:ascii="Times New Roman" w:hAnsi="Times New Roman"/>
          <w:b/>
          <w:bCs/>
          <w:sz w:val="22"/>
          <w:szCs w:val="22"/>
          <w:highlight w:val="none"/>
        </w:rPr>
        <w:t xml:space="preserve">ИНДЕКС пересчета из базовых цен 1992г. в текущие:</w:t>
      </w:r>
      <w:r>
        <w:rPr>
          <w:rFonts w:ascii="Times New Roman" w:hAnsi="Times New Roman"/>
          <w:b/>
          <w:bCs/>
          <w:sz w:val="22"/>
          <w:szCs w:val="22"/>
          <w:highlight w:val="none"/>
        </w:rPr>
      </w:r>
      <w:r>
        <w:rPr>
          <w:rFonts w:ascii="Times New Roman" w:hAnsi="Times New Roman"/>
          <w:b/>
          <w:bCs/>
          <w:sz w:val="22"/>
          <w:szCs w:val="22"/>
          <w:highlight w:val="none"/>
        </w:rPr>
      </w:r>
    </w:p>
    <w:p>
      <w:pPr>
        <w:jc w:val="left"/>
        <w:rPr>
          <w:rFonts w:ascii="Times New Roman" w:hAnsi="Times New Roman"/>
          <w:b/>
          <w:bCs/>
          <w:sz w:val="22"/>
          <w:szCs w:val="22"/>
          <w:highlight w:val="none"/>
        </w:rPr>
      </w:pPr>
      <w:r>
        <w:rPr>
          <w:rFonts w:ascii="Times New Roman" w:hAnsi="Times New Roman"/>
          <w:b/>
          <w:bCs/>
          <w:sz w:val="22"/>
          <w:szCs w:val="22"/>
          <w:highlight w:val="none"/>
        </w:rPr>
        <w:t xml:space="preserve">ВСЕГО в ценах 2026 года:</w:t>
      </w:r>
      <w:r>
        <w:rPr>
          <w:rFonts w:ascii="Times New Roman" w:hAnsi="Times New Roman"/>
          <w:b/>
          <w:bCs/>
          <w:sz w:val="22"/>
          <w:szCs w:val="22"/>
          <w:highlight w:val="none"/>
        </w:rPr>
      </w:r>
      <w:r>
        <w:rPr>
          <w:rFonts w:ascii="Times New Roman" w:hAnsi="Times New Roman"/>
          <w:b/>
          <w:bCs/>
          <w:sz w:val="22"/>
          <w:szCs w:val="22"/>
          <w:highlight w:val="none"/>
        </w:rPr>
      </w:r>
    </w:p>
    <w:p>
      <w:pPr>
        <w:jc w:val="lef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  <w:r>
        <w:rPr>
          <w:rFonts w:ascii="Times New Roman" w:hAnsi="Times New Roman"/>
          <w:b/>
          <w:bCs/>
          <w:sz w:val="22"/>
          <w:szCs w:val="22"/>
        </w:rPr>
      </w:r>
      <w:r>
        <w:rPr>
          <w:rFonts w:ascii="Times New Roman" w:hAnsi="Times New Roman"/>
          <w:b/>
          <w:bCs/>
          <w:sz w:val="22"/>
          <w:szCs w:val="22"/>
        </w:rPr>
      </w:r>
    </w:p>
    <w:p>
      <w:pPr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jc w:val="left"/>
        <w:rPr>
          <w:rFonts w:ascii="Times New Roman" w:hAnsi="Times New Roman"/>
          <w:b/>
          <w:bCs/>
          <w:sz w:val="22"/>
          <w:szCs w:val="22"/>
          <w:highlight w:val="none"/>
        </w:rPr>
      </w:pPr>
      <w:r>
        <w:rPr>
          <w:rFonts w:ascii="Times New Roman" w:hAnsi="Times New Roman"/>
          <w:b/>
          <w:bCs/>
          <w:sz w:val="22"/>
          <w:szCs w:val="22"/>
          <w:highlight w:val="none"/>
        </w:rPr>
        <w:t xml:space="preserve">Заказчик:                                                                                                 Исполнитель:</w:t>
      </w:r>
      <w:r>
        <w:rPr>
          <w:rFonts w:ascii="Times New Roman" w:hAnsi="Times New Roman"/>
          <w:b/>
          <w:bCs/>
          <w:sz w:val="22"/>
          <w:szCs w:val="22"/>
          <w:highlight w:val="none"/>
        </w:rPr>
      </w:r>
      <w:r>
        <w:rPr>
          <w:rFonts w:ascii="Times New Roman" w:hAnsi="Times New Roman"/>
          <w:b/>
          <w:bCs/>
          <w:sz w:val="22"/>
          <w:szCs w:val="22"/>
          <w:highlight w:val="none"/>
        </w:rPr>
      </w:r>
    </w:p>
    <w:p>
      <w:pPr>
        <w:jc w:val="lef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  <w:r>
        <w:rPr>
          <w:rFonts w:ascii="Times New Roman" w:hAnsi="Times New Roman"/>
          <w:b/>
          <w:bCs/>
          <w:sz w:val="22"/>
          <w:szCs w:val="22"/>
        </w:rPr>
      </w:r>
      <w:r>
        <w:rPr>
          <w:rFonts w:ascii="Times New Roman" w:hAnsi="Times New Roman"/>
          <w:b/>
          <w:bCs/>
          <w:sz w:val="22"/>
          <w:szCs w:val="22"/>
        </w:rPr>
      </w:r>
    </w:p>
    <w:p>
      <w:pPr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jc w:val="left"/>
        <w:rPr>
          <w:rFonts w:ascii="Times New Roman" w:hAnsi="Times New Roman"/>
          <w:sz w:val="22"/>
          <w:szCs w:val="22"/>
          <w:highlight w:val="none"/>
        </w:rPr>
      </w:pPr>
      <w:r>
        <w:rPr>
          <w:rFonts w:ascii="Times New Roman" w:hAnsi="Times New Roman"/>
          <w:sz w:val="22"/>
          <w:szCs w:val="22"/>
          <w:highlight w:val="none"/>
        </w:rPr>
        <w:t xml:space="preserve">Главный инженер</w:t>
      </w:r>
      <w:r>
        <w:rPr>
          <w:rFonts w:ascii="Times New Roman" w:hAnsi="Times New Roman"/>
          <w:sz w:val="22"/>
          <w:szCs w:val="22"/>
          <w:highlight w:val="none"/>
        </w:rPr>
      </w:r>
      <w:r>
        <w:rPr>
          <w:rFonts w:ascii="Times New Roman" w:hAnsi="Times New Roman"/>
          <w:sz w:val="22"/>
          <w:szCs w:val="22"/>
          <w:highlight w:val="none"/>
        </w:rPr>
      </w:r>
    </w:p>
    <w:p>
      <w:pPr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highlight w:val="none"/>
        </w:rPr>
        <w:t xml:space="preserve">СП «Амурская ТЭЦ-1»</w:t>
      </w:r>
      <w:r>
        <w:rPr>
          <w:rFonts w:ascii="Times New Roman" w:hAnsi="Times New Roman"/>
          <w:sz w:val="22"/>
          <w:szCs w:val="22"/>
          <w:highlight w:val="none"/>
        </w:rPr>
      </w:r>
      <w:r>
        <w:rPr>
          <w:rFonts w:ascii="Times New Roman" w:hAnsi="Times New Roman"/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1134" w:bottom="1134" w:left="1134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Open Sans">
    <w:panose1 w:val="020B0606030504020204"/>
  </w:font>
  <w:font w:name="Arial">
    <w:panose1 w:val="020B0604020202020204"/>
  </w:font>
  <w:font w:name="Tahoma">
    <w:panose1 w:val="020B0604030504040204"/>
  </w:font>
  <w:font w:name="Lohit Devanagari">
    <w:panose1 w:val="020B0600000000000000"/>
  </w:font>
  <w:font w:name="Liberation Serif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character" w:styleId="686">
    <w:name w:val="Caption Char"/>
    <w:link w:val="83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c5fdbc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c5fdbc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1ebe03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36b8fb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43c0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dc33fa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c3fdba" w:themeFill="accent1" w:themeFillTint="34"/>
    </w:tblPr>
    <w:tblStylePr w:type="band1Horz">
      <w:tcPr>
        <w:shd w:val="clear" w:color="ffffff" w:themeColor="accent1" w:themeTint="75" w:fill="79fb64" w:themeFill="accent1" w:themeFillTint="75"/>
      </w:tcPr>
    </w:tblStylePr>
    <w:tblStylePr w:type="band1Vert">
      <w:tcPr>
        <w:shd w:val="clear" w:color="ffffff" w:themeColor="accent1" w:themeTint="75" w:fill="79fb6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bce7fd" w:themeFill="accent2" w:themeFillTint="32"/>
    </w:tblPr>
    <w:tblStylePr w:type="band1Horz">
      <w:tcPr>
        <w:shd w:val="clear" w:color="ffffff" w:themeColor="accent2" w:themeTint="75" w:fill="64c8fb" w:themeFill="accent2" w:themeFillTint="75"/>
      </w:tcPr>
    </w:tblStylePr>
    <w:tblStylePr w:type="band1Vert">
      <w:tcPr>
        <w:shd w:val="clear" w:color="ffffff" w:themeColor="accent2" w:themeTint="75" w:fill="64c8fb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fdd2ba" w:themeFill="accent3" w:themeFillTint="34"/>
    </w:tblPr>
    <w:tblStylePr w:type="band1Horz">
      <w:tcPr>
        <w:shd w:val="clear" w:color="ffffff" w:themeColor="accent3" w:themeTint="75" w:fill="fb9964" w:themeFill="accent3" w:themeFillTint="75"/>
      </w:tcPr>
    </w:tblStylePr>
    <w:tblStylePr w:type="band1Vert">
      <w:tcPr>
        <w:shd w:val="clear" w:color="ffffff" w:themeColor="accent3" w:themeTint="75" w:fill="fb9964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3bafd" w:themeFill="accent4" w:themeFillTint="34"/>
    </w:tblPr>
    <w:tblStylePr w:type="band1Horz">
      <w:tcPr>
        <w:shd w:val="clear" w:color="ffffff" w:themeColor="accent4" w:themeTint="75" w:fill="e464fb" w:themeFill="accent4" w:themeFillTint="75"/>
      </w:tcPr>
    </w:tblStylePr>
    <w:tblStylePr w:type="band1Vert">
      <w:tcPr>
        <w:shd w:val="clear" w:color="ffffff" w:themeColor="accent4" w:themeTint="75" w:fill="e464fb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fefbf" w:themeFill="accent5" w:themeFillTint="34"/>
    </w:tblPr>
    <w:tblStylePr w:type="band1Horz">
      <w:tcPr>
        <w:shd w:val="clear" w:color="ffffff" w:themeColor="accent5" w:themeTint="75" w:fill="ffdb71" w:themeFill="accent5" w:themeFillTint="75"/>
      </w:tcPr>
    </w:tblStylePr>
    <w:tblStylePr w:type="band1Vert">
      <w:tcPr>
        <w:shd w:val="clear" w:color="ffffff" w:themeColor="accent5" w:themeTint="75" w:fill="ffdb7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ccc" w:themeFill="accent6" w:themeFillTint="34"/>
    </w:tblPr>
    <w:tblStylePr w:type="band1Horz">
      <w:tcPr>
        <w:shd w:val="clear" w:color="ffffff" w:themeColor="accent6" w:themeTint="75" w:fill="ee8f8f" w:themeFill="accent6" w:themeFillTint="75"/>
      </w:tcPr>
    </w:tblStylePr>
    <w:tblStylePr w:type="band1Vert">
      <w:tcPr>
        <w:shd w:val="clear" w:color="ffffff" w:themeColor="accent6" w:themeTint="75" w:fill="ee8f8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tcPr>
        <w:shd w:val="clear" w:color="ffffff" w:themeColor="accent1" w:themeTint="34" w:fill="c3fdba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1ebf04" w:themeColor="accent1" w:themeTint="80" w:themeShade="95"/>
      </w:rPr>
    </w:tblStylePr>
    <w:tblStylePr w:type="firstRow">
      <w:rPr>
        <w:b/>
        <w:color w:val="1ebf0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ebf04" w:themeColor="accent1" w:themeTint="80" w:themeShade="95"/>
      </w:rPr>
    </w:tblStylePr>
    <w:tblStylePr w:type="lastRow">
      <w:rPr>
        <w:b/>
        <w:color w:val="1ebf0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tcPr>
        <w:shd w:val="clear" w:color="ffffff" w:themeColor="accent2" w:themeTint="32" w:fill="bce7fd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0378ae" w:themeColor="accent2" w:themeTint="97" w:themeShade="95"/>
      </w:rPr>
    </w:tblStylePr>
    <w:tblStylePr w:type="firstRow">
      <w:rPr>
        <w:b/>
        <w:color w:val="0378ae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0378ae" w:themeColor="accent2" w:themeTint="97" w:themeShade="95"/>
      </w:rPr>
    </w:tblStylePr>
    <w:tblStylePr w:type="lastRow">
      <w:rPr>
        <w:b/>
        <w:color w:val="0378ae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tcPr>
        <w:shd w:val="clear" w:color="ffffff" w:themeColor="accent3" w:themeTint="34" w:fill="fdd2ba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e2201" w:themeColor="accent3" w:themeTint="FE" w:themeShade="95"/>
      </w:rPr>
    </w:tblStylePr>
    <w:tblStylePr w:type="firstRow">
      <w:rPr>
        <w:b/>
        <w:color w:val="5e2201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e2201" w:themeColor="accent3" w:themeTint="FE" w:themeShade="95"/>
      </w:rPr>
    </w:tblStylePr>
    <w:tblStylePr w:type="lastRow">
      <w:rPr>
        <w:b/>
        <w:color w:val="5e2201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tcPr>
        <w:shd w:val="clear" w:color="ffffff" w:themeColor="accent4" w:themeTint="34" w:fill="f3bafd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9104ab" w:themeColor="accent4" w:themeTint="9A" w:themeShade="95"/>
      </w:rPr>
    </w:tblStylePr>
    <w:tblStylePr w:type="firstRow">
      <w:rPr>
        <w:b/>
        <w:color w:val="9104ab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9104ab" w:themeColor="accent4" w:themeTint="9A" w:themeShade="95"/>
      </w:rPr>
    </w:tblStylePr>
    <w:tblStylePr w:type="lastRow">
      <w:rPr>
        <w:b/>
        <w:color w:val="9104ab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tcPr>
        <w:shd w:val="clear" w:color="ffffff" w:themeColor="accent5" w:themeTint="34" w:fill="ffefb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745700" w:themeColor="accent5" w:themeShade="95"/>
      </w:rPr>
    </w:tblStylePr>
    <w:tblStylePr w:type="firstRow">
      <w:rPr>
        <w:b/>
        <w:color w:val="745700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745700" w:themeColor="accent5" w:themeShade="95"/>
      </w:rPr>
    </w:tblStylePr>
    <w:tblStylePr w:type="lastRow">
      <w:rPr>
        <w:b/>
        <w:color w:val="745700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tcPr>
        <w:shd w:val="clear" w:color="ffffff" w:themeColor="accent6" w:themeTint="34" w:fill="f7cccc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745700" w:themeColor="accent5" w:themeShade="95"/>
      </w:rPr>
    </w:tblStylePr>
    <w:tblStylePr w:type="firstRow">
      <w:rPr>
        <w:b/>
        <w:color w:val="745700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745700" w:themeColor="accent5" w:themeShade="95"/>
      </w:rPr>
    </w:tblStylePr>
    <w:tblStylePr w:type="lastRow">
      <w:rPr>
        <w:b/>
        <w:color w:val="745700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1ebf04" w:themeColor="accent1" w:themeTint="80" w:themeShade="95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tcPr>
        <w:shd w:val="clear" w:color="ffffff" w:themeColor="accent1" w:themeTint="34" w:fill="c3fdba" w:themeFill="accent1" w:themeFillTint="34"/>
      </w:tcPr>
    </w:tblStylePr>
    <w:tblStylePr w:type="band2Horz">
      <w:rPr>
        <w:rFonts w:ascii="Arial" w:hAnsi="Arial"/>
        <w:color w:val="1ebf04" w:themeColor="accent1" w:themeTint="80" w:themeShade="95"/>
        <w:sz w:val="22"/>
      </w:rPr>
    </w:tblStylePr>
    <w:tblStylePr w:type="firstCol">
      <w:rPr>
        <w:rFonts w:ascii="Arial" w:hAnsi="Arial"/>
        <w:i/>
        <w:color w:val="1ebf04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ebf04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ebf04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1ebf0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0378ae" w:themeColor="accent2" w:themeTint="97" w:themeShade="95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tcPr>
        <w:shd w:val="clear" w:color="ffffff" w:themeColor="accent2" w:themeTint="32" w:fill="bce7fd" w:themeFill="accent2" w:themeFillTint="32"/>
      </w:tcPr>
    </w:tblStylePr>
    <w:tblStylePr w:type="band2Horz">
      <w:rPr>
        <w:rFonts w:ascii="Arial" w:hAnsi="Arial"/>
        <w:color w:val="0378ae" w:themeColor="accent2" w:themeTint="97" w:themeShade="95"/>
        <w:sz w:val="22"/>
      </w:rPr>
    </w:tblStylePr>
    <w:tblStylePr w:type="firstCol">
      <w:rPr>
        <w:rFonts w:ascii="Arial" w:hAnsi="Arial"/>
        <w:i/>
        <w:color w:val="0378ae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78ae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e2201" w:themeColor="accent3" w:themeTint="FE" w:themeShade="95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tcPr>
        <w:shd w:val="clear" w:color="ffffff" w:themeColor="accent3" w:themeTint="34" w:fill="fdd2ba" w:themeFill="accent3" w:themeFillTint="34"/>
      </w:tcPr>
    </w:tblStylePr>
    <w:tblStylePr w:type="band2Horz">
      <w:rPr>
        <w:rFonts w:ascii="Arial" w:hAnsi="Arial"/>
        <w:color w:val="5e2201" w:themeColor="accent3" w:themeTint="FE" w:themeShade="95"/>
        <w:sz w:val="22"/>
      </w:rPr>
    </w:tblStylePr>
    <w:tblStylePr w:type="firstCol">
      <w:rPr>
        <w:rFonts w:ascii="Arial" w:hAnsi="Arial"/>
        <w:i/>
        <w:color w:val="5e2201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e2201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2201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e2201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9104ab" w:themeColor="accent4" w:themeTint="9A" w:themeShade="95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tcPr>
        <w:shd w:val="clear" w:color="ffffff" w:themeColor="accent4" w:themeTint="34" w:fill="f3bafd" w:themeFill="accent4" w:themeFillTint="34"/>
      </w:tcPr>
    </w:tblStylePr>
    <w:tblStylePr w:type="band2Horz">
      <w:rPr>
        <w:rFonts w:ascii="Arial" w:hAnsi="Arial"/>
        <w:color w:val="9104ab" w:themeColor="accent4" w:themeTint="9A" w:themeShade="95"/>
        <w:sz w:val="22"/>
      </w:rPr>
    </w:tblStylePr>
    <w:tblStylePr w:type="firstCol">
      <w:rPr>
        <w:rFonts w:ascii="Arial" w:hAnsi="Arial"/>
        <w:i/>
        <w:color w:val="9104ab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104ab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745700" w:themeColor="accent5" w:themeShade="95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tcPr>
        <w:shd w:val="clear" w:color="ffffff" w:themeColor="accent5" w:themeTint="34" w:fill="ffefbf" w:themeFill="accent5" w:themeFillTint="34"/>
      </w:tcPr>
    </w:tblStylePr>
    <w:tblStylePr w:type="band2Horz">
      <w:rPr>
        <w:rFonts w:ascii="Arial" w:hAnsi="Arial"/>
        <w:color w:val="745700" w:themeColor="accent5" w:themeShade="95"/>
        <w:sz w:val="22"/>
      </w:rPr>
    </w:tblStylePr>
    <w:tblStylePr w:type="firstCol">
      <w:rPr>
        <w:rFonts w:ascii="Arial" w:hAnsi="Arial"/>
        <w:i/>
        <w:color w:val="745700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745700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5700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5700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741111" w:themeColor="accent6" w:themeShade="95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tcPr>
        <w:shd w:val="clear" w:color="ffffff" w:themeColor="accent6" w:themeTint="34" w:fill="f7cccc" w:themeFill="accent6" w:themeFillTint="34"/>
      </w:tcPr>
    </w:tblStylePr>
    <w:tblStylePr w:type="band2Horz">
      <w:rPr>
        <w:rFonts w:ascii="Arial" w:hAnsi="Arial"/>
        <w:color w:val="741111" w:themeColor="accent6" w:themeShade="95"/>
        <w:sz w:val="22"/>
      </w:rPr>
    </w:tblStylePr>
    <w:tblStylePr w:type="firstCol">
      <w:rPr>
        <w:rFonts w:ascii="Arial" w:hAnsi="Arial"/>
        <w:i/>
        <w:color w:val="741111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111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111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111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fa7a35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ffd042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e96e6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8a303" w:themeFill="accent1"/>
    </w:tblPr>
    <w:tblStylePr w:type="band1Horz"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18a303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18a303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36b8fb" w:themeFill="accent2" w:themeFillTint="97"/>
    </w:tblPr>
    <w:tblStylePr w:type="band1Horz">
      <w:tcPr>
        <w:shd w:val="clear" w:color="ffffff" w:themeColor="accent2" w:themeTint="97" w:fill="36b8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36b8fb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36b8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36b8fb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fa7a35" w:themeFill="accent3" w:themeFillTint="98"/>
    </w:tblPr>
    <w:tblStylePr w:type="band1Horz">
      <w:tcPr>
        <w:shd w:val="clear" w:color="ffffff" w:themeColor="accent3" w:themeTint="98" w:fill="fa7a35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fa7a35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fa7a35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fa7a35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dc33fa" w:themeFill="accent4" w:themeFillTint="9A"/>
    </w:tblPr>
    <w:tblStylePr w:type="band1Horz">
      <w:tcPr>
        <w:shd w:val="clear" w:color="ffffff" w:themeColor="accent4" w:themeTint="9A" w:fill="dc33fa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dc33fa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dc33fa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dc33fa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fd042" w:themeFill="accent5" w:themeFillTint="9A"/>
    </w:tblPr>
    <w:tblStylePr w:type="band1Horz">
      <w:tcPr>
        <w:shd w:val="clear" w:color="ffffff" w:themeColor="accent5" w:themeTint="9A" w:fill="ffd042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ffd042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ffd042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ffd042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96e6e" w:themeFill="accent6" w:themeFillTint="98"/>
    </w:tblPr>
    <w:tblStylePr w:type="band1Horz">
      <w:tcPr>
        <w:shd w:val="clear" w:color="ffffff" w:themeColor="accent6" w:themeTint="98" w:fill="e96e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e96e6e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e96e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e96e6e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0e5e01" w:themeColor="accent1" w:themeShade="95"/>
      </w:rPr>
    </w:tblStylePr>
    <w:tblStylePr w:type="firstRow">
      <w:rPr>
        <w:b/>
        <w:color w:val="0e5e0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e5e01" w:themeColor="accent1" w:themeShade="95"/>
      </w:rPr>
    </w:tblStylePr>
    <w:tblStylePr w:type="lastRow">
      <w:rPr>
        <w:b/>
        <w:color w:val="0e5e0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0378ae" w:themeColor="accent2" w:themeTint="97" w:themeShade="95"/>
      </w:rPr>
    </w:tblStylePr>
    <w:tblStylePr w:type="firstRow">
      <w:rPr>
        <w:b/>
        <w:color w:val="0378ae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0378ae" w:themeColor="accent2" w:themeTint="97" w:themeShade="95"/>
      </w:rPr>
    </w:tblStylePr>
    <w:tblStylePr w:type="lastRow">
      <w:rPr>
        <w:b/>
        <w:color w:val="0378ae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ab3b04" w:themeColor="accent3" w:themeTint="98" w:themeShade="95"/>
      </w:rPr>
    </w:tblStylePr>
    <w:tblStylePr w:type="firstRow">
      <w:rPr>
        <w:b/>
        <w:color w:val="ab3b04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ab3b04" w:themeColor="accent3" w:themeTint="98" w:themeShade="95"/>
      </w:rPr>
    </w:tblStylePr>
    <w:tblStylePr w:type="lastRow">
      <w:rPr>
        <w:b/>
        <w:color w:val="ab3b04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9104ab" w:themeColor="accent4" w:themeTint="9A" w:themeShade="95"/>
      </w:rPr>
    </w:tblStylePr>
    <w:tblStylePr w:type="firstRow">
      <w:rPr>
        <w:b/>
        <w:color w:val="9104ab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9104ab" w:themeColor="accent4" w:themeTint="9A" w:themeShade="95"/>
      </w:rPr>
    </w:tblStylePr>
    <w:tblStylePr w:type="lastRow">
      <w:rPr>
        <w:b/>
        <w:color w:val="9104ab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ba8700" w:themeColor="accent5" w:themeTint="9A" w:themeShade="95"/>
      </w:rPr>
    </w:tblStylePr>
    <w:tblStylePr w:type="firstRow">
      <w:rPr>
        <w:b/>
        <w:color w:val="ba870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ba8700" w:themeColor="accent5" w:themeTint="9A" w:themeShade="95"/>
      </w:rPr>
    </w:tblStylePr>
    <w:tblStylePr w:type="lastRow">
      <w:rPr>
        <w:b/>
        <w:color w:val="ba870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ad1a1a" w:themeColor="accent6" w:themeTint="98" w:themeShade="95"/>
      </w:rPr>
    </w:tblStylePr>
    <w:tblStylePr w:type="firstRow">
      <w:rPr>
        <w:b/>
        <w:color w:val="ad1a1a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d1a1a" w:themeColor="accent6" w:themeTint="98" w:themeShade="95"/>
      </w:rPr>
    </w:tblStylePr>
    <w:tblStylePr w:type="lastRow">
      <w:rPr>
        <w:b/>
        <w:color w:val="ad1a1a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0e5e01" w:themeColor="accent1" w:themeShade="95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band2Horz">
      <w:rPr>
        <w:rFonts w:ascii="Arial" w:hAnsi="Arial"/>
        <w:color w:val="0e5e01" w:themeColor="accent1" w:themeShade="95"/>
        <w:sz w:val="22"/>
      </w:rPr>
    </w:tblStylePr>
    <w:tblStylePr w:type="firstCol">
      <w:rPr>
        <w:rFonts w:ascii="Arial" w:hAnsi="Arial"/>
        <w:i/>
        <w:color w:val="0e5e0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e5e0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e5e0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e5e0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0e5e01" w:themeColor="accent1" w:themeShade="95"/>
        <w:sz w:val="22"/>
      </w:rPr>
    </w:tblStylePr>
  </w:style>
  <w:style w:type="table" w:styleId="78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0378ae" w:themeColor="accent2" w:themeTint="97" w:themeShade="95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band2Horz">
      <w:rPr>
        <w:rFonts w:ascii="Arial" w:hAnsi="Arial"/>
        <w:color w:val="0378ae" w:themeColor="accent2" w:themeTint="97" w:themeShade="95"/>
        <w:sz w:val="22"/>
      </w:rPr>
    </w:tblStylePr>
    <w:tblStylePr w:type="firstCol">
      <w:rPr>
        <w:rFonts w:ascii="Arial" w:hAnsi="Arial"/>
        <w:i/>
        <w:color w:val="0378ae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78ae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0378ae" w:themeColor="accent2" w:themeTint="97" w:themeShade="95"/>
        <w:sz w:val="22"/>
      </w:rPr>
    </w:tblStylePr>
  </w:style>
  <w:style w:type="table" w:styleId="78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ab3b04" w:themeColor="accent3" w:themeTint="98" w:themeShade="95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band2Horz">
      <w:rPr>
        <w:rFonts w:ascii="Arial" w:hAnsi="Arial"/>
        <w:color w:val="ab3b04" w:themeColor="accent3" w:themeTint="98" w:themeShade="95"/>
        <w:sz w:val="22"/>
      </w:rPr>
    </w:tblStylePr>
    <w:tblStylePr w:type="firstCol">
      <w:rPr>
        <w:rFonts w:ascii="Arial" w:hAnsi="Arial"/>
        <w:i/>
        <w:color w:val="ab3b04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ab3b04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3b04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3b04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ab3b04" w:themeColor="accent3" w:themeTint="98" w:themeShade="95"/>
        <w:sz w:val="22"/>
      </w:rPr>
    </w:tblStylePr>
  </w:style>
  <w:style w:type="table" w:styleId="78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9104ab" w:themeColor="accent4" w:themeTint="9A" w:themeShade="95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band2Horz">
      <w:rPr>
        <w:rFonts w:ascii="Arial" w:hAnsi="Arial"/>
        <w:color w:val="9104ab" w:themeColor="accent4" w:themeTint="9A" w:themeShade="95"/>
        <w:sz w:val="22"/>
      </w:rPr>
    </w:tblStylePr>
    <w:tblStylePr w:type="firstCol">
      <w:rPr>
        <w:rFonts w:ascii="Arial" w:hAnsi="Arial"/>
        <w:i/>
        <w:color w:val="9104ab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104ab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104ab" w:themeColor="accent4" w:themeTint="9A" w:themeShade="95"/>
        <w:sz w:val="22"/>
      </w:rPr>
    </w:tblStylePr>
  </w:style>
  <w:style w:type="table" w:styleId="79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ba8700" w:themeColor="accent5" w:themeTint="9A" w:themeShade="95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band2Horz">
      <w:rPr>
        <w:rFonts w:ascii="Arial" w:hAnsi="Arial"/>
        <w:color w:val="ba8700" w:themeColor="accent5" w:themeTint="9A" w:themeShade="95"/>
        <w:sz w:val="22"/>
      </w:rPr>
    </w:tblStylePr>
    <w:tblStylePr w:type="firstCol">
      <w:rPr>
        <w:rFonts w:ascii="Arial" w:hAnsi="Arial"/>
        <w:i/>
        <w:color w:val="ba870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ba870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a870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a870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ba8700" w:themeColor="accent5" w:themeTint="9A" w:themeShade="95"/>
        <w:sz w:val="22"/>
      </w:rPr>
    </w:tblStylePr>
  </w:style>
  <w:style w:type="table" w:styleId="79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ad1a1a" w:themeColor="accent6" w:themeTint="98" w:themeShade="95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band2Horz">
      <w:rPr>
        <w:rFonts w:ascii="Arial" w:hAnsi="Arial"/>
        <w:color w:val="ad1a1a" w:themeColor="accent6" w:themeTint="98" w:themeShade="95"/>
        <w:sz w:val="22"/>
      </w:rPr>
    </w:tblStylePr>
    <w:tblStylePr w:type="firstCol">
      <w:rPr>
        <w:rFonts w:ascii="Arial" w:hAnsi="Arial"/>
        <w:i/>
        <w:color w:val="ad1a1a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d1a1a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d1a1a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d1a1a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ad1a1a" w:themeColor="accent6" w:themeTint="98" w:themeShade="95"/>
        <w:sz w:val="22"/>
      </w:rPr>
    </w:tblStylePr>
  </w:style>
  <w:style w:type="table" w:styleId="79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</w:style>
  <w:style w:type="table" w:styleId="79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</w:style>
  <w:style w:type="table" w:styleId="79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</w:style>
  <w:style w:type="table" w:styleId="79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</w:style>
  <w:style w:type="table" w:styleId="79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</w:style>
  <w:style w:type="table" w:styleId="79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</w:style>
  <w:style w:type="table" w:styleId="79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</w:style>
  <w:style w:type="table" w:styleId="80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</w:style>
  <w:style w:type="table" w:styleId="80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</w:style>
  <w:style w:type="table" w:styleId="80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</w:style>
  <w:style w:type="table" w:styleId="80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</w:style>
  <w:style w:type="table" w:styleId="80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</w:style>
  <w:style w:type="table" w:styleId="80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widowControl/>
    </w:pPr>
    <w:rPr>
      <w:rFonts w:ascii="Liberation Serif" w:hAnsi="Liberation Serif" w:eastAsia="Tahoma" w:cs="Lohit Devanagari"/>
      <w:color w:val="auto"/>
      <w:sz w:val="24"/>
      <w:szCs w:val="24"/>
      <w:lang w:val="ru-RU" w:eastAsia="zh-CN" w:bidi="hi-IN"/>
    </w:rPr>
  </w:style>
  <w:style w:type="paragraph" w:styleId="832">
    <w:name w:val="Заголовок"/>
    <w:basedOn w:val="831"/>
    <w:next w:val="833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833">
    <w:name w:val="Body Text"/>
    <w:basedOn w:val="831"/>
    <w:pPr>
      <w:spacing w:before="0" w:after="140" w:line="276" w:lineRule="auto"/>
    </w:pPr>
  </w:style>
  <w:style w:type="paragraph" w:styleId="834">
    <w:name w:val="List"/>
    <w:basedOn w:val="833"/>
    <w:rPr>
      <w:rFonts w:cs="Lohit Devanagari"/>
    </w:rPr>
  </w:style>
  <w:style w:type="paragraph" w:styleId="835">
    <w:name w:val="Caption"/>
    <w:basedOn w:val="831"/>
    <w:link w:val="686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836">
    <w:name w:val="Указатель"/>
    <w:basedOn w:val="831"/>
    <w:qFormat/>
    <w:pPr>
      <w:suppressLineNumbers/>
    </w:pPr>
    <w:rPr>
      <w:rFonts w:cs="Lohit Devanagari"/>
    </w:rPr>
  </w:style>
  <w:style w:type="paragraph" w:styleId="837">
    <w:name w:val="Содержимое таблицы"/>
    <w:basedOn w:val="831"/>
    <w:qFormat/>
    <w:pPr>
      <w:widowControl w:val="off"/>
      <w:suppressLineNumbers/>
    </w:pPr>
  </w:style>
  <w:style w:type="paragraph" w:styleId="838">
    <w:name w:val="Заголовок таблицы"/>
    <w:basedOn w:val="837"/>
    <w:qFormat/>
    <w:pPr>
      <w:jc w:val="center"/>
      <w:suppressLineNumbers/>
    </w:pPr>
    <w:rPr>
      <w:b/>
      <w:bCs/>
    </w:rPr>
  </w:style>
  <w:style w:type="character" w:styleId="839" w:default="1">
    <w:name w:val="Default Paragraph Font"/>
    <w:uiPriority w:val="1"/>
    <w:semiHidden/>
    <w:unhideWhenUsed/>
  </w:style>
  <w:style w:type="numbering" w:styleId="840" w:default="1">
    <w:name w:val="No List"/>
    <w:uiPriority w:val="99"/>
    <w:semiHidden/>
    <w:unhideWhenUsed/>
  </w:style>
  <w:style w:type="table" w:styleId="84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Templat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gavrilova_msr</cp:lastModifiedBy>
  <cp:revision>3</cp:revision>
  <dcterms:created xsi:type="dcterms:W3CDTF">2026-02-09T14:09:39Z</dcterms:created>
  <dcterms:modified xsi:type="dcterms:W3CDTF">2026-02-10T03:23:54Z</dcterms:modified>
</cp:coreProperties>
</file>